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521099">
      <w:pPr>
        <w:snapToGrid w:val="0"/>
        <w:spacing w:line="360" w:lineRule="auto"/>
        <w:jc w:val="center"/>
        <w:rPr>
          <w:rFonts w:hint="eastAsia" w:ascii="宋体" w:hAnsi="宋体" w:cs="华文中宋"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cs="华文中宋"/>
          <w:color w:val="auto"/>
          <w:sz w:val="30"/>
          <w:szCs w:val="30"/>
          <w:lang w:val="en-US" w:eastAsia="zh-CN"/>
        </w:rPr>
        <w:t>采购需求书</w:t>
      </w:r>
    </w:p>
    <w:p w14:paraId="45C42F2A">
      <w:pPr>
        <w:pStyle w:val="5"/>
        <w:numPr>
          <w:ilvl w:val="0"/>
          <w:numId w:val="1"/>
        </w:numPr>
        <w:tabs>
          <w:tab w:val="left" w:pos="540"/>
        </w:tabs>
        <w:adjustRightInd w:val="0"/>
        <w:snapToGrid w:val="0"/>
        <w:spacing w:line="360" w:lineRule="auto"/>
        <w:rPr>
          <w:rFonts w:hint="eastAsia" w:hAnsi="宋体"/>
          <w:b/>
          <w:color w:val="auto"/>
          <w:sz w:val="21"/>
          <w:lang w:val="en-US" w:eastAsia="zh-CN"/>
        </w:rPr>
      </w:pPr>
      <w:r>
        <w:rPr>
          <w:rFonts w:hint="eastAsia" w:hAnsi="宋体"/>
          <w:b/>
          <w:color w:val="auto"/>
          <w:sz w:val="21"/>
          <w:lang w:val="en-US" w:eastAsia="zh-CN"/>
        </w:rPr>
        <w:t>采购清单</w:t>
      </w:r>
    </w:p>
    <w:p w14:paraId="371F211C">
      <w:pPr>
        <w:spacing w:line="103" w:lineRule="exact"/>
        <w:jc w:val="center"/>
        <w:rPr>
          <w:sz w:val="8"/>
          <w:szCs w:val="8"/>
        </w:rPr>
      </w:pPr>
    </w:p>
    <w:p w14:paraId="5E32598C">
      <w:pPr>
        <w:spacing w:line="103" w:lineRule="exact"/>
        <w:jc w:val="center"/>
        <w:rPr>
          <w:sz w:val="8"/>
          <w:szCs w:val="8"/>
        </w:rPr>
      </w:pPr>
    </w:p>
    <w:p w14:paraId="49DA9675">
      <w:pPr>
        <w:spacing w:line="103" w:lineRule="exact"/>
        <w:jc w:val="center"/>
        <w:rPr>
          <w:sz w:val="8"/>
          <w:szCs w:val="8"/>
        </w:rPr>
      </w:pPr>
    </w:p>
    <w:p w14:paraId="7E8C3ED8">
      <w:pPr>
        <w:pStyle w:val="5"/>
        <w:numPr>
          <w:ilvl w:val="0"/>
          <w:numId w:val="0"/>
        </w:numPr>
        <w:tabs>
          <w:tab w:val="left" w:pos="540"/>
        </w:tabs>
        <w:adjustRightInd w:val="0"/>
        <w:snapToGrid w:val="0"/>
        <w:spacing w:line="360" w:lineRule="auto"/>
        <w:ind w:leftChars="0"/>
        <w:jc w:val="center"/>
        <w:rPr>
          <w:rFonts w:hint="eastAsia" w:hAnsi="宋体"/>
          <w:b/>
          <w:color w:val="auto"/>
          <w:sz w:val="21"/>
          <w:lang w:val="en-US" w:eastAsia="zh-CN"/>
        </w:rPr>
      </w:pPr>
      <w:r>
        <w:drawing>
          <wp:inline distT="0" distB="0" distL="114300" distR="114300">
            <wp:extent cx="5270500" cy="2837180"/>
            <wp:effectExtent l="0" t="0" r="2540" b="1270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83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D4461B">
      <w:pPr>
        <w:pStyle w:val="5"/>
        <w:numPr>
          <w:ilvl w:val="0"/>
          <w:numId w:val="0"/>
        </w:numPr>
        <w:tabs>
          <w:tab w:val="left" w:pos="540"/>
        </w:tabs>
        <w:adjustRightInd w:val="0"/>
        <w:snapToGrid w:val="0"/>
        <w:spacing w:line="360" w:lineRule="auto"/>
        <w:ind w:leftChars="0"/>
        <w:jc w:val="center"/>
        <w:rPr>
          <w:rFonts w:hint="eastAsia" w:hAnsi="宋体"/>
          <w:b/>
          <w:color w:val="auto"/>
          <w:sz w:val="21"/>
          <w:lang w:val="en-US" w:eastAsia="zh-CN"/>
        </w:rPr>
      </w:pPr>
    </w:p>
    <w:p w14:paraId="15439EF9">
      <w:pPr>
        <w:pStyle w:val="5"/>
        <w:numPr>
          <w:ilvl w:val="0"/>
          <w:numId w:val="1"/>
        </w:numPr>
        <w:tabs>
          <w:tab w:val="left" w:pos="540"/>
        </w:tabs>
        <w:adjustRightInd w:val="0"/>
        <w:snapToGrid w:val="0"/>
        <w:spacing w:line="360" w:lineRule="auto"/>
        <w:rPr>
          <w:rFonts w:hint="default" w:hAnsi="宋体"/>
          <w:b/>
          <w:color w:val="auto"/>
          <w:sz w:val="21"/>
          <w:lang w:val="en-US" w:eastAsia="zh-CN"/>
        </w:rPr>
      </w:pPr>
      <w:r>
        <w:rPr>
          <w:rFonts w:hint="eastAsia" w:hAnsi="宋体"/>
          <w:b/>
          <w:color w:val="auto"/>
          <w:sz w:val="21"/>
          <w:lang w:val="en-US" w:eastAsia="zh-CN"/>
        </w:rPr>
        <w:t>商务要求</w:t>
      </w:r>
    </w:p>
    <w:p w14:paraId="5C6B4FEA">
      <w:pPr>
        <w:pStyle w:val="5"/>
        <w:numPr>
          <w:ilvl w:val="0"/>
          <w:numId w:val="2"/>
        </w:numPr>
        <w:tabs>
          <w:tab w:val="left" w:pos="540"/>
        </w:tabs>
        <w:adjustRightInd w:val="0"/>
        <w:snapToGrid w:val="0"/>
        <w:spacing w:line="360" w:lineRule="auto"/>
        <w:rPr>
          <w:rFonts w:hint="eastAsia" w:hAnsi="宋体"/>
          <w:b/>
          <w:bCs/>
          <w:color w:val="auto"/>
          <w:sz w:val="21"/>
        </w:rPr>
      </w:pPr>
      <w:r>
        <w:rPr>
          <w:rFonts w:hint="eastAsia" w:hAnsi="宋体" w:cs="宋体"/>
          <w:b/>
          <w:bCs/>
          <w:color w:val="auto"/>
          <w:szCs w:val="21"/>
          <w:lang w:val="en-US" w:eastAsia="zh-CN"/>
        </w:rPr>
        <w:t>教学楼走廊、楼梯所加高的护栏</w:t>
      </w:r>
      <w:r>
        <w:rPr>
          <w:rFonts w:hint="eastAsia" w:ascii="宋体" w:hAnsi="宋体" w:cs="宋体"/>
          <w:b/>
          <w:bCs/>
          <w:color w:val="auto"/>
          <w:szCs w:val="21"/>
          <w:lang w:val="en-US" w:eastAsia="zh-CN"/>
        </w:rPr>
        <w:t>需与</w:t>
      </w:r>
      <w:r>
        <w:rPr>
          <w:rFonts w:hint="eastAsia" w:hAnsi="宋体" w:cs="宋体"/>
          <w:b/>
          <w:bCs/>
          <w:color w:val="auto"/>
          <w:szCs w:val="21"/>
          <w:lang w:val="en-US" w:eastAsia="zh-CN"/>
        </w:rPr>
        <w:t>采购清单</w:t>
      </w:r>
      <w:r>
        <w:rPr>
          <w:rFonts w:hint="eastAsia" w:ascii="宋体" w:hAnsi="宋体" w:cs="宋体"/>
          <w:b/>
          <w:bCs/>
          <w:color w:val="auto"/>
          <w:szCs w:val="21"/>
          <w:lang w:val="en-US" w:eastAsia="zh-CN"/>
        </w:rPr>
        <w:t>规格一致。</w:t>
      </w:r>
    </w:p>
    <w:p w14:paraId="2D257DDD">
      <w:pPr>
        <w:pStyle w:val="5"/>
        <w:numPr>
          <w:ilvl w:val="0"/>
          <w:numId w:val="2"/>
        </w:numPr>
        <w:tabs>
          <w:tab w:val="left" w:pos="540"/>
        </w:tabs>
        <w:adjustRightInd w:val="0"/>
        <w:snapToGrid w:val="0"/>
        <w:spacing w:line="360" w:lineRule="auto"/>
        <w:rPr>
          <w:rFonts w:hint="eastAsia" w:hAnsi="宋体"/>
          <w:b/>
          <w:bCs/>
          <w:color w:val="auto"/>
          <w:sz w:val="21"/>
        </w:rPr>
      </w:pPr>
      <w:r>
        <w:rPr>
          <w:rFonts w:hint="eastAsia" w:ascii="宋体"/>
          <w:bCs/>
          <w:color w:val="auto"/>
          <w:szCs w:val="21"/>
        </w:rPr>
        <w:t>交货期：</w:t>
      </w:r>
      <w:r>
        <w:rPr>
          <w:rFonts w:hint="eastAsia" w:ascii="宋体"/>
          <w:bCs/>
          <w:color w:val="auto"/>
          <w:szCs w:val="21"/>
          <w:lang w:val="en-US" w:eastAsia="zh-CN"/>
        </w:rPr>
        <w:t>签订合同之日起</w:t>
      </w:r>
      <w:r>
        <w:rPr>
          <w:rFonts w:hint="eastAsia" w:ascii="宋体"/>
          <w:bCs/>
          <w:color w:val="auto"/>
          <w:szCs w:val="21"/>
        </w:rPr>
        <w:t>后1</w:t>
      </w:r>
      <w:r>
        <w:rPr>
          <w:rFonts w:hint="eastAsia" w:ascii="宋体"/>
          <w:bCs/>
          <w:color w:val="auto"/>
          <w:szCs w:val="21"/>
          <w:lang w:val="en-US"/>
        </w:rPr>
        <w:t>5</w:t>
      </w:r>
      <w:r>
        <w:rPr>
          <w:rFonts w:hint="eastAsia" w:ascii="宋体"/>
          <w:bCs/>
          <w:color w:val="auto"/>
          <w:szCs w:val="21"/>
        </w:rPr>
        <w:t>个工作日</w:t>
      </w:r>
      <w:r>
        <w:rPr>
          <w:rFonts w:hint="eastAsia" w:ascii="宋体"/>
          <w:bCs/>
          <w:color w:val="auto"/>
          <w:szCs w:val="21"/>
          <w:lang w:val="en-US"/>
        </w:rPr>
        <w:t>（节日除外）</w:t>
      </w:r>
      <w:r>
        <w:rPr>
          <w:rFonts w:hint="eastAsia" w:ascii="宋体"/>
          <w:bCs/>
          <w:color w:val="auto"/>
          <w:szCs w:val="21"/>
        </w:rPr>
        <w:t>内完成安装</w:t>
      </w:r>
      <w:r>
        <w:rPr>
          <w:rFonts w:hint="eastAsia" w:ascii="宋体"/>
          <w:bCs/>
          <w:color w:val="auto"/>
          <w:szCs w:val="21"/>
          <w:lang w:val="en-US" w:eastAsia="zh-CN"/>
        </w:rPr>
        <w:t>调试并交付使用</w:t>
      </w:r>
    </w:p>
    <w:p w14:paraId="35117A15">
      <w:pPr>
        <w:pStyle w:val="5"/>
        <w:numPr>
          <w:ilvl w:val="0"/>
          <w:numId w:val="2"/>
        </w:numPr>
        <w:tabs>
          <w:tab w:val="left" w:pos="540"/>
        </w:tabs>
        <w:adjustRightInd w:val="0"/>
        <w:snapToGrid w:val="0"/>
        <w:spacing w:line="360" w:lineRule="auto"/>
        <w:rPr>
          <w:rFonts w:hint="eastAsia" w:hAnsi="宋体"/>
          <w:color w:val="auto"/>
          <w:sz w:val="21"/>
        </w:rPr>
      </w:pPr>
      <w:r>
        <w:rPr>
          <w:rFonts w:hint="eastAsia" w:hAnsi="宋体"/>
          <w:b/>
          <w:color w:val="auto"/>
          <w:sz w:val="21"/>
        </w:rPr>
        <w:t>质保期及售后服务要求</w:t>
      </w:r>
    </w:p>
    <w:p w14:paraId="6508D08E">
      <w:pPr>
        <w:numPr>
          <w:ilvl w:val="0"/>
          <w:numId w:val="3"/>
        </w:numPr>
        <w:autoSpaceDE w:val="0"/>
        <w:autoSpaceDN w:val="0"/>
        <w:adjustRightInd w:val="0"/>
        <w:snapToGrid w:val="0"/>
        <w:spacing w:line="360" w:lineRule="auto"/>
        <w:rPr>
          <w:rFonts w:hint="eastAsia" w:ascii="宋体" w:hAnsi="宋体" w:cs="宋体"/>
          <w:color w:val="auto"/>
          <w:szCs w:val="21"/>
          <w:lang w:val="en-US" w:eastAsia="zh-CN"/>
        </w:rPr>
      </w:pPr>
      <w:r>
        <w:rPr>
          <w:rFonts w:hint="eastAsia" w:ascii="宋体" w:hAnsi="宋体" w:cs="宋体"/>
          <w:color w:val="auto"/>
          <w:szCs w:val="21"/>
          <w:lang w:val="en-US" w:eastAsia="zh-CN"/>
        </w:rPr>
        <w:t>本项目中主件的质量保证期(简称“质保期”)为 2年，质保期内项目中标方对所供货物实行包修、包换、包退及合同约定的其它事项，期满后出现需要维修（例如焊接点出现松动等情况），则按正常收费。</w:t>
      </w:r>
    </w:p>
    <w:p w14:paraId="24E133F3">
      <w:pPr>
        <w:numPr>
          <w:ilvl w:val="0"/>
          <w:numId w:val="3"/>
        </w:numPr>
        <w:autoSpaceDE w:val="0"/>
        <w:autoSpaceDN w:val="0"/>
        <w:adjustRightInd w:val="0"/>
        <w:snapToGrid w:val="0"/>
        <w:spacing w:line="360" w:lineRule="auto"/>
        <w:rPr>
          <w:rFonts w:hint="eastAsia" w:ascii="宋体" w:hAnsi="宋体" w:cs="宋体"/>
          <w:color w:val="auto"/>
          <w:szCs w:val="21"/>
        </w:rPr>
      </w:pPr>
      <w:r>
        <w:rPr>
          <w:rFonts w:hint="eastAsia" w:ascii="宋体" w:hAnsi="宋体" w:cs="宋体"/>
          <w:color w:val="auto"/>
          <w:szCs w:val="21"/>
          <w:lang w:val="en-US" w:eastAsia="zh-CN"/>
        </w:rPr>
        <w:t>质保期内，如主件或零部件因质量原因导致无法正常使用的，质保期和免费维修期相应顺延。如停用时间累计超过60天则质保期重新计算。</w:t>
      </w:r>
    </w:p>
    <w:p w14:paraId="6E4C9FF2">
      <w:pPr>
        <w:numPr>
          <w:ilvl w:val="0"/>
          <w:numId w:val="3"/>
        </w:numPr>
        <w:autoSpaceDE w:val="0"/>
        <w:autoSpaceDN w:val="0"/>
        <w:adjustRightInd w:val="0"/>
        <w:snapToGrid w:val="0"/>
        <w:spacing w:line="360" w:lineRule="auto"/>
        <w:rPr>
          <w:rFonts w:hint="eastAsia" w:ascii="宋体" w:hAnsi="宋体" w:cs="宋体"/>
          <w:color w:val="auto"/>
          <w:szCs w:val="21"/>
        </w:rPr>
      </w:pPr>
      <w:r>
        <w:rPr>
          <w:rFonts w:hint="eastAsia" w:ascii="宋体" w:hAnsi="宋体" w:cs="宋体"/>
          <w:color w:val="auto"/>
          <w:szCs w:val="21"/>
        </w:rPr>
        <w:t>对采购人的服务通知，成交人在接报后1小时内响应，4小时内到达现场，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24</w:t>
      </w:r>
      <w:r>
        <w:rPr>
          <w:rFonts w:hint="eastAsia" w:ascii="宋体" w:hAnsi="宋体" w:cs="宋体"/>
          <w:color w:val="auto"/>
          <w:szCs w:val="21"/>
        </w:rPr>
        <w:t>小时内处理完毕。若在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24</w:t>
      </w:r>
      <w:r>
        <w:rPr>
          <w:rFonts w:hint="eastAsia" w:ascii="宋体" w:hAnsi="宋体" w:cs="宋体"/>
          <w:color w:val="auto"/>
          <w:szCs w:val="21"/>
        </w:rPr>
        <w:t>小时内仍未能有效解决，成交人须免费提供同档次的设备予采购人临时使用。</w:t>
      </w:r>
    </w:p>
    <w:p w14:paraId="4F804045">
      <w:pPr>
        <w:pStyle w:val="5"/>
        <w:numPr>
          <w:ilvl w:val="0"/>
          <w:numId w:val="2"/>
        </w:numPr>
        <w:tabs>
          <w:tab w:val="left" w:pos="540"/>
        </w:tabs>
        <w:adjustRightInd w:val="0"/>
        <w:snapToGrid w:val="0"/>
        <w:spacing w:line="360" w:lineRule="auto"/>
        <w:rPr>
          <w:rFonts w:hAnsi="宋体"/>
          <w:b/>
          <w:color w:val="auto"/>
          <w:sz w:val="21"/>
        </w:rPr>
      </w:pPr>
      <w:r>
        <w:rPr>
          <w:rFonts w:hint="eastAsia" w:hAnsi="宋体"/>
          <w:b/>
          <w:color w:val="auto"/>
          <w:sz w:val="21"/>
        </w:rPr>
        <w:t>包装、保险及发运、保管要求</w:t>
      </w:r>
    </w:p>
    <w:p w14:paraId="0DD3775F">
      <w:pPr>
        <w:numPr>
          <w:ilvl w:val="0"/>
          <w:numId w:val="4"/>
        </w:numPr>
        <w:adjustRightInd w:val="0"/>
        <w:snapToGrid w:val="0"/>
        <w:spacing w:line="360" w:lineRule="auto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设备材料的包装必须是原厂包装，其包装均应有良好的防湿、防锈、防潮、防雨、防腐及防碰撞的措施。凡由于包装不良造成的损失和由此产生的费用均由</w:t>
      </w:r>
      <w:r>
        <w:rPr>
          <w:rFonts w:hint="eastAsia" w:ascii="宋体" w:hAnsi="宋体"/>
          <w:color w:val="auto"/>
          <w:szCs w:val="21"/>
          <w:lang w:val="en-US" w:eastAsia="zh-CN"/>
        </w:rPr>
        <w:t>成交人</w:t>
      </w:r>
      <w:r>
        <w:rPr>
          <w:rFonts w:hint="eastAsia" w:ascii="宋体" w:hAnsi="宋体"/>
          <w:color w:val="auto"/>
          <w:szCs w:val="21"/>
        </w:rPr>
        <w:t>承担。</w:t>
      </w:r>
    </w:p>
    <w:p w14:paraId="45ADCE13">
      <w:pPr>
        <w:numPr>
          <w:ilvl w:val="0"/>
          <w:numId w:val="4"/>
        </w:numPr>
        <w:adjustRightInd w:val="0"/>
        <w:snapToGrid w:val="0"/>
        <w:spacing w:line="360" w:lineRule="auto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成交人负责将设备材料货到现场过程中的全部运输，包括装卸车、货物现场的搬运。</w:t>
      </w:r>
    </w:p>
    <w:p w14:paraId="27308413">
      <w:pPr>
        <w:numPr>
          <w:ilvl w:val="0"/>
          <w:numId w:val="4"/>
        </w:numPr>
        <w:adjustRightInd w:val="0"/>
        <w:snapToGrid w:val="0"/>
        <w:spacing w:line="360" w:lineRule="auto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各种设备必须提供装箱清单，按装箱清单验收货物。</w:t>
      </w:r>
    </w:p>
    <w:p w14:paraId="28A0294A">
      <w:pPr>
        <w:numPr>
          <w:ilvl w:val="0"/>
          <w:numId w:val="4"/>
        </w:numPr>
        <w:adjustRightInd w:val="0"/>
        <w:snapToGrid w:val="0"/>
        <w:spacing w:line="360" w:lineRule="auto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货物在现场的保管由成交人负责，直至项目安装、验收完毕。</w:t>
      </w:r>
    </w:p>
    <w:p w14:paraId="78413D00">
      <w:pPr>
        <w:numPr>
          <w:ilvl w:val="0"/>
          <w:numId w:val="4"/>
        </w:numPr>
        <w:adjustRightInd w:val="0"/>
        <w:snapToGrid w:val="0"/>
        <w:spacing w:line="360" w:lineRule="auto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货物在安装验收合格前的保险由成交人负责，成交人负责其派出的现场服务人员人身意外保险。</w:t>
      </w:r>
    </w:p>
    <w:p w14:paraId="2A1FA363">
      <w:pPr>
        <w:numPr>
          <w:ilvl w:val="0"/>
          <w:numId w:val="4"/>
        </w:numPr>
        <w:adjustRightInd w:val="0"/>
        <w:snapToGrid w:val="0"/>
        <w:spacing w:line="360" w:lineRule="auto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设备至采购人指定的使用现场的包装、保险及发运等环节和费用均由成交人负责。</w:t>
      </w:r>
    </w:p>
    <w:p w14:paraId="3CF38548">
      <w:pPr>
        <w:pStyle w:val="5"/>
        <w:numPr>
          <w:ilvl w:val="0"/>
          <w:numId w:val="2"/>
        </w:numPr>
        <w:tabs>
          <w:tab w:val="left" w:pos="540"/>
        </w:tabs>
        <w:adjustRightInd w:val="0"/>
        <w:snapToGrid w:val="0"/>
        <w:spacing w:line="360" w:lineRule="auto"/>
        <w:rPr>
          <w:rFonts w:hint="eastAsia" w:hAnsi="宋体"/>
          <w:b/>
          <w:color w:val="auto"/>
          <w:sz w:val="21"/>
        </w:rPr>
      </w:pPr>
      <w:r>
        <w:rPr>
          <w:rFonts w:hint="eastAsia" w:hAnsi="宋体"/>
          <w:b/>
          <w:color w:val="auto"/>
          <w:sz w:val="21"/>
        </w:rPr>
        <w:t>安装、调试与验收</w:t>
      </w:r>
    </w:p>
    <w:p w14:paraId="712C310D">
      <w:pPr>
        <w:pStyle w:val="5"/>
        <w:numPr>
          <w:ilvl w:val="0"/>
          <w:numId w:val="5"/>
        </w:numPr>
        <w:tabs>
          <w:tab w:val="left" w:pos="540"/>
        </w:tabs>
        <w:adjustRightInd w:val="0"/>
        <w:snapToGrid w:val="0"/>
        <w:spacing w:line="360" w:lineRule="auto"/>
        <w:rPr>
          <w:rFonts w:hint="eastAsia" w:hAnsi="宋体"/>
          <w:color w:val="auto"/>
          <w:sz w:val="21"/>
        </w:rPr>
      </w:pPr>
      <w:r>
        <w:rPr>
          <w:rFonts w:hint="eastAsia" w:hAnsi="宋体"/>
          <w:color w:val="auto"/>
          <w:sz w:val="21"/>
        </w:rPr>
        <w:t>货物若有国家标准按照国家标准验收，若无国家标准按行业标准验收，为原制造商制造的全新产品</w:t>
      </w:r>
      <w:r>
        <w:rPr>
          <w:rFonts w:hint="eastAsia" w:hAnsi="宋体"/>
          <w:color w:val="auto"/>
          <w:sz w:val="21"/>
          <w:lang w:eastAsia="zh-CN"/>
        </w:rPr>
        <w:t>，</w:t>
      </w:r>
      <w:r>
        <w:rPr>
          <w:rFonts w:hint="eastAsia" w:hAnsi="宋体"/>
          <w:color w:val="auto"/>
          <w:sz w:val="21"/>
        </w:rPr>
        <w:t xml:space="preserve">无污染，无侵权行为、表面无划损、无任何缺陷隐患，在中国境内可依常规安全合法使用。 </w:t>
      </w:r>
    </w:p>
    <w:p w14:paraId="17D9777A">
      <w:pPr>
        <w:numPr>
          <w:ilvl w:val="0"/>
          <w:numId w:val="5"/>
        </w:numPr>
        <w:tabs>
          <w:tab w:val="left" w:pos="900"/>
        </w:tabs>
        <w:autoSpaceDE w:val="0"/>
        <w:autoSpaceDN w:val="0"/>
        <w:adjustRightInd w:val="0"/>
        <w:snapToGrid w:val="0"/>
        <w:spacing w:line="360" w:lineRule="auto"/>
        <w:rPr>
          <w:rFonts w:hint="eastAsia" w:ascii="宋体" w:hAnsi="宋体" w:cs="宋体"/>
          <w:color w:val="auto"/>
          <w:szCs w:val="21"/>
        </w:rPr>
      </w:pPr>
      <w:r>
        <w:rPr>
          <w:rFonts w:hint="eastAsia" w:ascii="宋体" w:hAnsi="宋体" w:cs="宋体"/>
          <w:color w:val="auto"/>
          <w:szCs w:val="21"/>
        </w:rPr>
        <w:t>采购人组成验收小组按国家有关规定、规范进行验收，必要时邀请相关的专业人员或机构参与验收。因货物</w:t>
      </w:r>
      <w:bookmarkStart w:id="0" w:name="_GoBack"/>
      <w:r>
        <w:rPr>
          <w:rFonts w:hint="eastAsia" w:ascii="宋体" w:hAnsi="宋体" w:cs="宋体"/>
          <w:color w:val="auto"/>
          <w:szCs w:val="21"/>
        </w:rPr>
        <w:t>质量问题发生争议时，由本地质量技术监督部门鉴定。货物符合质量技术标准的，鉴定费由采购人承担；否则鉴定费由成交人承担。</w:t>
      </w:r>
    </w:p>
    <w:p w14:paraId="01F4F052">
      <w:pPr>
        <w:pStyle w:val="5"/>
        <w:numPr>
          <w:ilvl w:val="0"/>
          <w:numId w:val="1"/>
        </w:numPr>
        <w:tabs>
          <w:tab w:val="left" w:pos="540"/>
        </w:tabs>
        <w:adjustRightInd w:val="0"/>
        <w:snapToGrid w:val="0"/>
        <w:spacing w:line="360" w:lineRule="auto"/>
        <w:rPr>
          <w:rFonts w:hint="default" w:ascii="宋体" w:hAnsi="宋体"/>
          <w:b/>
          <w:color w:val="auto"/>
          <w:kern w:val="0"/>
          <w:szCs w:val="21"/>
          <w:lang w:val="en-US" w:eastAsia="zh-CN"/>
        </w:rPr>
      </w:pPr>
      <w:r>
        <w:rPr>
          <w:rFonts w:hint="eastAsia" w:hAnsi="宋体"/>
          <w:b/>
          <w:color w:val="auto"/>
          <w:sz w:val="21"/>
          <w:lang w:val="en-US" w:eastAsia="zh-CN"/>
        </w:rPr>
        <w:t>付款方式</w:t>
      </w:r>
    </w:p>
    <w:p w14:paraId="3D6628DF">
      <w:pPr>
        <w:snapToGrid w:val="0"/>
        <w:spacing w:line="360" w:lineRule="auto"/>
        <w:ind w:firstLine="420" w:firstLineChars="200"/>
        <w:rPr>
          <w:rFonts w:hint="eastAsia" w:ascii="宋体" w:hAnsi="宋体" w:cs="宋体"/>
          <w:color w:val="auto"/>
          <w:szCs w:val="21"/>
        </w:rPr>
      </w:pPr>
      <w:r>
        <w:rPr>
          <w:rFonts w:hint="eastAsia" w:ascii="宋体" w:hAnsi="宋体" w:cs="宋体"/>
          <w:color w:val="auto"/>
          <w:szCs w:val="21"/>
        </w:rPr>
        <w:t>由采购人按下列程序付款：</w:t>
      </w:r>
    </w:p>
    <w:p w14:paraId="0C424AC9">
      <w:pPr>
        <w:numPr>
          <w:ilvl w:val="0"/>
          <w:numId w:val="6"/>
        </w:numPr>
        <w:autoSpaceDE w:val="0"/>
        <w:autoSpaceDN w:val="0"/>
        <w:adjustRightInd w:val="0"/>
        <w:snapToGrid w:val="0"/>
        <w:spacing w:line="360" w:lineRule="auto"/>
        <w:rPr>
          <w:rFonts w:hint="eastAsia" w:ascii="宋体" w:hAnsi="宋体" w:cs="宋体"/>
          <w:color w:val="auto"/>
          <w:szCs w:val="21"/>
        </w:rPr>
      </w:pPr>
      <w:r>
        <w:rPr>
          <w:rFonts w:hint="eastAsia" w:ascii="宋体" w:hAnsi="宋体" w:cs="宋体"/>
          <w:color w:val="auto"/>
          <w:szCs w:val="21"/>
        </w:rPr>
        <w:t>设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合同签订后，成交人完成供货并经采购人验收合格后，采购人凭成交人开具的完税发票一次性向成交人支付款项。</w:t>
      </w:r>
    </w:p>
    <w:p w14:paraId="273C4EA3">
      <w:pPr>
        <w:numPr>
          <w:ilvl w:val="0"/>
          <w:numId w:val="6"/>
        </w:numPr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/>
          <w:color w:val="auto"/>
          <w:kern w:val="21"/>
          <w:szCs w:val="21"/>
        </w:rPr>
      </w:pPr>
      <w:r>
        <w:rPr>
          <w:rFonts w:hint="eastAsia" w:ascii="宋体" w:hAnsi="宋体"/>
          <w:color w:val="auto"/>
          <w:kern w:val="21"/>
          <w:szCs w:val="21"/>
        </w:rPr>
        <w:t>成交人凭以下有效文件与采购人结算：</w:t>
      </w:r>
    </w:p>
    <w:p w14:paraId="3914EC25">
      <w:pPr>
        <w:snapToGrid w:val="0"/>
        <w:spacing w:line="360" w:lineRule="auto"/>
        <w:ind w:firstLine="315" w:firstLineChars="150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（1）</w:t>
      </w:r>
      <w:r>
        <w:rPr>
          <w:rFonts w:ascii="宋体" w:hAnsi="宋体"/>
          <w:color w:val="auto"/>
          <w:szCs w:val="21"/>
        </w:rPr>
        <w:t>合同；</w:t>
      </w:r>
    </w:p>
    <w:p w14:paraId="5F68E6F6">
      <w:pPr>
        <w:snapToGrid w:val="0"/>
        <w:spacing w:line="360" w:lineRule="auto"/>
        <w:ind w:firstLine="315" w:firstLineChars="150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（2）</w:t>
      </w:r>
      <w:r>
        <w:rPr>
          <w:rFonts w:ascii="宋体" w:hAnsi="宋体"/>
          <w:color w:val="auto"/>
          <w:szCs w:val="21"/>
        </w:rPr>
        <w:t>成交人开具的正式发票；</w:t>
      </w:r>
    </w:p>
    <w:p w14:paraId="68F2AA76">
      <w:pPr>
        <w:snapToGrid w:val="0"/>
        <w:spacing w:line="360" w:lineRule="auto"/>
        <w:ind w:firstLine="315" w:firstLineChars="150"/>
        <w:rPr>
          <w:color w:val="auto"/>
        </w:rPr>
      </w:pPr>
      <w:r>
        <w:rPr>
          <w:rFonts w:hint="eastAsia" w:ascii="宋体" w:hAnsi="宋体"/>
          <w:color w:val="auto"/>
          <w:szCs w:val="21"/>
        </w:rPr>
        <w:t>（</w:t>
      </w:r>
      <w:r>
        <w:rPr>
          <w:rFonts w:hint="eastAsia" w:ascii="宋体" w:hAnsi="宋体"/>
          <w:color w:val="auto"/>
          <w:szCs w:val="21"/>
          <w:lang w:val="en-US" w:eastAsia="zh-CN"/>
        </w:rPr>
        <w:t>3</w:t>
      </w:r>
      <w:r>
        <w:rPr>
          <w:rFonts w:hint="eastAsia" w:ascii="宋体" w:hAnsi="宋体"/>
          <w:color w:val="auto"/>
          <w:szCs w:val="21"/>
        </w:rPr>
        <w:t>）</w:t>
      </w:r>
      <w:r>
        <w:rPr>
          <w:rFonts w:ascii="宋体" w:hAnsi="宋体"/>
          <w:color w:val="auto"/>
          <w:szCs w:val="21"/>
        </w:rPr>
        <w:t>成交通知书。</w:t>
      </w:r>
    </w:p>
    <w:bookmarkEnd w:id="0"/>
    <w:sectPr>
      <w:footerReference r:id="rId3" w:type="default"/>
      <w:pgSz w:w="11906" w:h="16838"/>
      <w:pgMar w:top="1440" w:right="1080" w:bottom="1440" w:left="108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3F662C">
    <w:pPr>
      <w:spacing w:line="210" w:lineRule="auto"/>
      <w:ind w:left="4884"/>
      <w:rPr>
        <w:rFonts w:ascii="宋体" w:hAnsi="宋体" w:eastAsia="宋体" w:cs="宋体"/>
        <w:sz w:val="20"/>
        <w:szCs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521DA80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521DA80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5AC778E"/>
    <w:multiLevelType w:val="multilevel"/>
    <w:tmpl w:val="25AC778E"/>
    <w:lvl w:ilvl="0" w:tentative="0">
      <w:start w:val="1"/>
      <w:numFmt w:val="chineseCountingThousand"/>
      <w:lvlText w:val="%1、"/>
      <w:lvlJc w:val="left"/>
      <w:pPr>
        <w:tabs>
          <w:tab w:val="left" w:pos="420"/>
        </w:tabs>
        <w:ind w:left="420" w:hanging="420"/>
      </w:pPr>
      <w:rPr>
        <w:b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3F5862CA"/>
    <w:multiLevelType w:val="multilevel"/>
    <w:tmpl w:val="3F5862CA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  <w:b w:val="0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485817B9"/>
    <w:multiLevelType w:val="multilevel"/>
    <w:tmpl w:val="485817B9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abstractNum w:abstractNumId="3">
    <w:nsid w:val="683E6D1D"/>
    <w:multiLevelType w:val="multilevel"/>
    <w:tmpl w:val="683E6D1D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abstractNum w:abstractNumId="4">
    <w:nsid w:val="6DAF3289"/>
    <w:multiLevelType w:val="multilevel"/>
    <w:tmpl w:val="6DAF3289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abstractNum w:abstractNumId="5">
    <w:nsid w:val="72AE5F84"/>
    <w:multiLevelType w:val="multilevel"/>
    <w:tmpl w:val="72AE5F84"/>
    <w:lvl w:ilvl="0" w:tentative="0">
      <w:start w:val="1"/>
      <w:numFmt w:val="chineseCountingThousand"/>
      <w:lvlText w:val="(%1)"/>
      <w:lvlJc w:val="left"/>
      <w:pPr>
        <w:ind w:left="286" w:hanging="420"/>
      </w:pPr>
    </w:lvl>
    <w:lvl w:ilvl="1" w:tentative="0">
      <w:start w:val="1"/>
      <w:numFmt w:val="lowerLetter"/>
      <w:lvlText w:val="%2)"/>
      <w:lvlJc w:val="left"/>
      <w:pPr>
        <w:ind w:left="706" w:hanging="420"/>
      </w:pPr>
    </w:lvl>
    <w:lvl w:ilvl="2" w:tentative="0">
      <w:start w:val="1"/>
      <w:numFmt w:val="lowerRoman"/>
      <w:lvlText w:val="%3."/>
      <w:lvlJc w:val="right"/>
      <w:pPr>
        <w:ind w:left="1126" w:hanging="420"/>
      </w:pPr>
    </w:lvl>
    <w:lvl w:ilvl="3" w:tentative="0">
      <w:start w:val="1"/>
      <w:numFmt w:val="decimal"/>
      <w:lvlText w:val="%4."/>
      <w:lvlJc w:val="left"/>
      <w:pPr>
        <w:ind w:left="1546" w:hanging="420"/>
      </w:pPr>
    </w:lvl>
    <w:lvl w:ilvl="4" w:tentative="0">
      <w:start w:val="1"/>
      <w:numFmt w:val="lowerLetter"/>
      <w:lvlText w:val="%5)"/>
      <w:lvlJc w:val="left"/>
      <w:pPr>
        <w:ind w:left="1966" w:hanging="420"/>
      </w:pPr>
    </w:lvl>
    <w:lvl w:ilvl="5" w:tentative="0">
      <w:start w:val="1"/>
      <w:numFmt w:val="lowerRoman"/>
      <w:lvlText w:val="%6."/>
      <w:lvlJc w:val="right"/>
      <w:pPr>
        <w:ind w:left="2386" w:hanging="420"/>
      </w:pPr>
    </w:lvl>
    <w:lvl w:ilvl="6" w:tentative="0">
      <w:start w:val="1"/>
      <w:numFmt w:val="decimal"/>
      <w:lvlText w:val="%7."/>
      <w:lvlJc w:val="left"/>
      <w:pPr>
        <w:ind w:left="2806" w:hanging="420"/>
      </w:pPr>
    </w:lvl>
    <w:lvl w:ilvl="7" w:tentative="0">
      <w:start w:val="1"/>
      <w:numFmt w:val="lowerLetter"/>
      <w:lvlText w:val="%8)"/>
      <w:lvlJc w:val="left"/>
      <w:pPr>
        <w:ind w:left="3226" w:hanging="420"/>
      </w:pPr>
    </w:lvl>
    <w:lvl w:ilvl="8" w:tentative="0">
      <w:start w:val="1"/>
      <w:numFmt w:val="lowerRoman"/>
      <w:lvlText w:val="%9."/>
      <w:lvlJc w:val="right"/>
      <w:pPr>
        <w:ind w:left="3646" w:hanging="420"/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ZkNzQ4ZWFiZmQ4NTRhOWRkZTk3YTMwMjlmMmZhYmUifQ=="/>
    <w:docVar w:name="KSO_WPS_MARK_KEY" w:val="22c627fe-6403-4780-8708-54b3e97fc336"/>
  </w:docVars>
  <w:rsids>
    <w:rsidRoot w:val="386D4D6F"/>
    <w:rsid w:val="061A1A8B"/>
    <w:rsid w:val="06EC6602"/>
    <w:rsid w:val="0AD1510A"/>
    <w:rsid w:val="21704935"/>
    <w:rsid w:val="386D4D6F"/>
    <w:rsid w:val="393079B7"/>
    <w:rsid w:val="3A9D4BB1"/>
    <w:rsid w:val="4E3F3CF6"/>
    <w:rsid w:val="57B42669"/>
    <w:rsid w:val="5A1E22AA"/>
    <w:rsid w:val="75774810"/>
    <w:rsid w:val="789E7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/>
    </w:pPr>
    <w:rPr>
      <w:kern w:val="0"/>
      <w:sz w:val="24"/>
    </w:rPr>
  </w:style>
  <w:style w:type="paragraph" w:styleId="3">
    <w:name w:val="toc 5"/>
    <w:basedOn w:val="1"/>
    <w:next w:val="1"/>
    <w:semiHidden/>
    <w:qFormat/>
    <w:uiPriority w:val="0"/>
    <w:pPr>
      <w:ind w:left="840"/>
      <w:jc w:val="left"/>
    </w:pPr>
    <w:rPr>
      <w:rFonts w:ascii="Calibri" w:hAnsi="Calibri" w:cs="Calibri"/>
      <w:sz w:val="18"/>
      <w:szCs w:val="18"/>
    </w:rPr>
  </w:style>
  <w:style w:type="paragraph" w:styleId="4">
    <w:name w:val="annotation text"/>
    <w:basedOn w:val="1"/>
    <w:qFormat/>
    <w:uiPriority w:val="0"/>
    <w:pPr>
      <w:autoSpaceDE w:val="0"/>
      <w:autoSpaceDN w:val="0"/>
      <w:adjustRightInd w:val="0"/>
      <w:jc w:val="left"/>
    </w:pPr>
    <w:rPr>
      <w:rFonts w:ascii="Times New Roman" w:hAnsi="Times New Roman"/>
      <w:kern w:val="0"/>
      <w:sz w:val="20"/>
      <w:szCs w:val="20"/>
    </w:rPr>
  </w:style>
  <w:style w:type="paragraph" w:styleId="5">
    <w:name w:val="Plain Text"/>
    <w:basedOn w:val="1"/>
    <w:qFormat/>
    <w:uiPriority w:val="0"/>
    <w:rPr>
      <w:rFonts w:ascii="宋体" w:hAnsi="Courier New"/>
      <w:kern w:val="0"/>
      <w:sz w:val="20"/>
      <w:szCs w:val="21"/>
    </w:r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10">
    <w:name w:val="Table Text"/>
    <w:basedOn w:val="1"/>
    <w:semiHidden/>
    <w:qFormat/>
    <w:uiPriority w:val="0"/>
    <w:rPr>
      <w:rFonts w:ascii="宋体" w:hAnsi="宋体" w:eastAsia="宋体" w:cs="宋体"/>
      <w:sz w:val="16"/>
      <w:szCs w:val="16"/>
      <w:lang w:val="en-US" w:eastAsia="en-US" w:bidi="ar-SA"/>
    </w:rPr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876</Words>
  <Characters>880</Characters>
  <Lines>0</Lines>
  <Paragraphs>0</Paragraphs>
  <TotalTime>0</TotalTime>
  <ScaleCrop>false</ScaleCrop>
  <LinksUpToDate>false</LinksUpToDate>
  <CharactersWithSpaces>882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2024-03-07T06:57:00Z</dcterms:created>
  <dc:creator>Thinkbook</dc:creator>
  <cp:lastModifiedBy>KivEN</cp:lastModifiedBy>
  <dcterms:modified xsi:type="dcterms:W3CDTF">2025-05-07T13:34:09Z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59E91D12CEFA42F1B5802295016503D5_11</vt:lpwstr>
  </property>
  <property fmtid="{D5CDD505-2E9C-101B-9397-08002B2CF9AE}" pid="4" name="KSOTemplateDocerSaveRecord">
    <vt:lpwstr>eyJoZGlkIjoiMWJmYmVhMGQ2YWQwOTc0ZDFkYmVkZTE0NzFkNThlYzIiLCJ1c2VySWQiOiIxMDYwMjk5NzE1In0=</vt:lpwstr>
  </property>
</Properties>
</file>